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300.0" w:type="pct"/>
        <w:tblBorders>
          <w:top w:color="e3e3e3" w:space="0" w:sz="6" w:val="single"/>
          <w:left w:color="e3e3e3" w:space="0" w:sz="6" w:val="single"/>
          <w:bottom w:color="e3e3e3" w:space="0" w:sz="6" w:val="single"/>
          <w:right w:color="e3e3e3" w:space="0" w:sz="6" w:val="single"/>
          <w:insideH w:color="e3e3e3" w:space="0" w:sz="6" w:val="single"/>
          <w:insideV w:color="e3e3e3" w:space="0" w:sz="6" w:val="single"/>
        </w:tblBorders>
        <w:tblLayout w:type="fixed"/>
        <w:tblLook w:val="0600"/>
      </w:tblPr>
      <w:tblGrid>
        <w:gridCol w:w="1785"/>
        <w:gridCol w:w="2895"/>
        <w:gridCol w:w="1980"/>
        <w:gridCol w:w="2685"/>
        <w:gridCol w:w="15"/>
        <w:tblGridChange w:id="0">
          <w:tblGrid>
            <w:gridCol w:w="1785"/>
            <w:gridCol w:w="2895"/>
            <w:gridCol w:w="1980"/>
            <w:gridCol w:w="2685"/>
            <w:gridCol w:w="15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Policy: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color w:val="373a3c"/>
                <w:sz w:val="20"/>
                <w:szCs w:val="20"/>
                <w:rtl w:val="0"/>
              </w:rPr>
              <w:t xml:space="preserve">Policy 4-3-9: Classified Family Grant-in-Aid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Adopted: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color w:val="373a3c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00963"/>
                  <w:sz w:val="20"/>
                  <w:szCs w:val="20"/>
                  <w:rtl w:val="0"/>
                </w:rPr>
                <w:t xml:space="preserve">Human Resources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color w:val="373a3c"/>
                <w:sz w:val="20"/>
                <w:szCs w:val="20"/>
                <w:rtl w:val="0"/>
              </w:rPr>
              <w:t xml:space="preserve">Human Resources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color w:val="373a3c"/>
                <w:sz w:val="20"/>
                <w:szCs w:val="20"/>
              </w:rPr>
            </w:pPr>
            <w:r w:rsidDel="00000000" w:rsidR="00000000" w:rsidRPr="00000000">
              <w:rPr>
                <w:color w:val="373a3c"/>
                <w:sz w:val="20"/>
                <w:szCs w:val="20"/>
                <w:rtl w:val="0"/>
              </w:rPr>
              <w:t xml:space="preserve">WNC implemented the Classified Family Grant-in-Aid Program allowing eligible spouses, domestic partners, and dependents of WNC classified staff to benefit from a reduced base registration fee.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Table of Contents: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450" w:right="-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Definitions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450" w:right="-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Eligibility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450" w:right="-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Courses and Credits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450" w:right="-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450" w:right="-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Limitations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540" w:lineRule="auto"/>
        <w:ind w:left="450" w:right="-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Application</w:t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widowControl w:val="0"/>
        <w:shd w:fill="ffffff" w:val="clear"/>
        <w:spacing w:line="219.1304347826087" w:lineRule="auto"/>
        <w:ind w:right="4950"/>
        <w:rPr>
          <w:color w:val="000963"/>
          <w:sz w:val="24"/>
          <w:szCs w:val="24"/>
        </w:rPr>
      </w:pPr>
      <w:bookmarkStart w:colFirst="0" w:colLast="0" w:name="_vfbva7gqdxp7" w:id="0"/>
      <w:bookmarkEnd w:id="0"/>
      <w:r w:rsidDel="00000000" w:rsidR="00000000" w:rsidRPr="00000000">
        <w:rPr>
          <w:color w:val="000963"/>
          <w:sz w:val="24"/>
          <w:szCs w:val="24"/>
          <w:rtl w:val="0"/>
        </w:rPr>
        <w:t xml:space="preserve">Section 1: Definitions</w:t>
      </w:r>
    </w:p>
    <w:p w:rsidR="00000000" w:rsidDel="00000000" w:rsidP="00000000" w:rsidRDefault="00000000" w:rsidRPr="00000000" w14:paraId="0000001A">
      <w:pPr>
        <w:shd w:fill="ffffff" w:val="clear"/>
        <w:spacing w:after="460" w:lineRule="auto"/>
        <w:ind w:left="-440" w:right="-440" w:firstLine="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249.60000000000002" w:line="240" w:lineRule="auto"/>
        <w:ind w:left="0" w:right="1267.200000000000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the purposes of this policy: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before="249.60000000000002" w:line="240" w:lineRule="auto"/>
        <w:ind w:left="720" w:right="1267.2000000000003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spouse is any individual lawfully married to another individual.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right="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domestic partner is any individual so registered with the Office of the Secretary of State.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0" w:beforeAutospacing="0" w:line="240" w:lineRule="auto"/>
        <w:ind w:left="720" w:right="76.80000000000064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financially dependent child is a natural, adopted or step child of a classified staff member who is not financially independent, is claimed as an exemption for federal income tax purposes under the U.S. Internal Revenue Code (26 U.S.C. § 152), and has not attained the age of 24. </w:t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widowControl w:val="0"/>
        <w:shd w:fill="ffffff" w:val="clear"/>
        <w:spacing w:line="219.1304347826087" w:lineRule="auto"/>
        <w:ind w:right="4950"/>
        <w:rPr>
          <w:color w:val="000963"/>
          <w:sz w:val="24"/>
          <w:szCs w:val="24"/>
        </w:rPr>
      </w:pPr>
      <w:bookmarkStart w:colFirst="0" w:colLast="0" w:name="_328q8jvbtfrk" w:id="1"/>
      <w:bookmarkEnd w:id="1"/>
      <w:r w:rsidDel="00000000" w:rsidR="00000000" w:rsidRPr="00000000">
        <w:rPr>
          <w:color w:val="000963"/>
          <w:sz w:val="24"/>
          <w:szCs w:val="24"/>
          <w:rtl w:val="0"/>
        </w:rPr>
        <w:t xml:space="preserve">Section 2: Eligibility</w:t>
      </w:r>
    </w:p>
    <w:p w:rsidR="00000000" w:rsidDel="00000000" w:rsidP="00000000" w:rsidRDefault="00000000" w:rsidRPr="00000000" w14:paraId="00000020">
      <w:pPr>
        <w:shd w:fill="ffffff" w:val="clear"/>
        <w:spacing w:after="460" w:lineRule="auto"/>
        <w:ind w:left="-440" w:right="-440" w:firstLine="0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35.2" w:line="240" w:lineRule="auto"/>
        <w:ind w:right="278.399999999999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program is available to family members of active classified employees working at least 0.53 full-time equivalent in regular classified service at Western Nevada Colleges including: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0" w:afterAutospacing="0" w:before="235.2" w:line="240" w:lineRule="auto"/>
        <w:ind w:left="720" w:right="278.3999999999992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Spouses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right="278.3999999999992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Domestic partners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right="278.3999999999992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Financially dependent children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before="0" w:beforeAutospacing="0" w:line="240" w:lineRule="auto"/>
        <w:ind w:left="720" w:right="278.3999999999992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Financially dependent children of a classified family member’s spouse or domestic partner </w:t>
      </w:r>
    </w:p>
    <w:p w:rsidR="00000000" w:rsidDel="00000000" w:rsidP="00000000" w:rsidRDefault="00000000" w:rsidRPr="00000000" w14:paraId="00000026">
      <w:pPr>
        <w:widowControl w:val="0"/>
        <w:spacing w:before="235.2" w:line="240" w:lineRule="auto"/>
        <w:ind w:right="278.399999999999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qualified, dependent children who have served on active duty in the United States Armed Forces, the age limitation specified in the definitions section will be extended for a period of such active service, not to exceed 6 years. </w:t>
      </w:r>
    </w:p>
    <w:p w:rsidR="00000000" w:rsidDel="00000000" w:rsidP="00000000" w:rsidRDefault="00000000" w:rsidRPr="00000000" w14:paraId="00000027">
      <w:pPr>
        <w:widowControl w:val="0"/>
        <w:spacing w:before="235.2" w:line="240" w:lineRule="auto"/>
        <w:ind w:right="278.399999999999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no age limitation for a spouse or a domestic partner. </w:t>
      </w:r>
    </w:p>
    <w:p w:rsidR="00000000" w:rsidDel="00000000" w:rsidP="00000000" w:rsidRDefault="00000000" w:rsidRPr="00000000" w14:paraId="00000028">
      <w:pPr>
        <w:widowControl w:val="0"/>
        <w:spacing w:before="235.2" w:line="240" w:lineRule="auto"/>
        <w:ind w:right="278.399999999999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classified staff member must attest to the eligible relationship each time a tuition reduction is issued. Western Nevada College may, at any time, request proof of eligibility for verification purposes. </w:t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widowControl w:val="0"/>
        <w:shd w:fill="ffffff" w:val="clear"/>
        <w:spacing w:line="219.1304347826087" w:lineRule="auto"/>
        <w:ind w:right="4950"/>
        <w:rPr>
          <w:color w:val="000963"/>
          <w:sz w:val="24"/>
          <w:szCs w:val="24"/>
        </w:rPr>
      </w:pPr>
      <w:bookmarkStart w:colFirst="0" w:colLast="0" w:name="_2ctn6wfdsu16" w:id="2"/>
      <w:bookmarkEnd w:id="2"/>
      <w:r w:rsidDel="00000000" w:rsidR="00000000" w:rsidRPr="00000000">
        <w:rPr>
          <w:color w:val="000963"/>
          <w:sz w:val="24"/>
          <w:szCs w:val="24"/>
          <w:rtl w:val="0"/>
        </w:rPr>
        <w:t xml:space="preserve">Section 3: Courses and Credits</w:t>
      </w:r>
    </w:p>
    <w:p w:rsidR="00000000" w:rsidDel="00000000" w:rsidP="00000000" w:rsidRDefault="00000000" w:rsidRPr="00000000" w14:paraId="0000002A">
      <w:pPr>
        <w:shd w:fill="ffffff" w:val="clear"/>
        <w:spacing w:after="460" w:line="240" w:lineRule="auto"/>
        <w:ind w:left="-440" w:right="-440" w:firstLine="0"/>
        <w:rPr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91.19999999999999" w:lineRule="auto"/>
        <w:ind w:right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Classified Grant-in-Aid Program: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pacing w:after="0" w:afterAutospacing="0" w:before="91.19999999999999" w:lineRule="auto"/>
        <w:ind w:left="720" w:righ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be used for courses during the Fall, Spring, and Summer semesters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4"/>
        </w:numPr>
        <w:spacing w:after="0" w:afterAutospacing="0" w:before="0" w:beforeAutospacing="0" w:lineRule="auto"/>
        <w:ind w:left="720" w:righ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be used for all for-credit classes included in the weighted student credit hour calculation for state funding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spacing w:before="0" w:beforeAutospacing="0" w:lineRule="auto"/>
        <w:ind w:left="720" w:righ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Covers an unlimited number of credits each semester 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widowControl w:val="0"/>
        <w:shd w:fill="ffffff" w:val="clear"/>
        <w:spacing w:line="219.1304347826087" w:lineRule="auto"/>
        <w:ind w:right="4950"/>
        <w:rPr>
          <w:color w:val="000963"/>
          <w:sz w:val="24"/>
          <w:szCs w:val="24"/>
        </w:rPr>
      </w:pPr>
      <w:bookmarkStart w:colFirst="0" w:colLast="0" w:name="_l8kigzmtrb8w" w:id="3"/>
      <w:bookmarkEnd w:id="3"/>
      <w:r w:rsidDel="00000000" w:rsidR="00000000" w:rsidRPr="00000000">
        <w:rPr>
          <w:color w:val="000963"/>
          <w:sz w:val="24"/>
          <w:szCs w:val="24"/>
          <w:rtl w:val="0"/>
        </w:rPr>
        <w:t xml:space="preserve">Section 4: Fees</w:t>
      </w:r>
    </w:p>
    <w:p w:rsidR="00000000" w:rsidDel="00000000" w:rsidP="00000000" w:rsidRDefault="00000000" w:rsidRPr="00000000" w14:paraId="00000030">
      <w:pPr>
        <w:shd w:fill="ffffff" w:val="clear"/>
        <w:spacing w:after="460" w:line="240" w:lineRule="auto"/>
        <w:ind w:left="-440" w:right="-44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91.19999999999999" w:lineRule="auto"/>
        <w:ind w:left="0" w:right="1531.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Fees covered by this program include a portion of the base registration fee and are equivalent to the current amount of the grant-in-aid benefit for professional employees. </w:t>
      </w:r>
    </w:p>
    <w:p w:rsidR="00000000" w:rsidDel="00000000" w:rsidP="00000000" w:rsidRDefault="00000000" w:rsidRPr="00000000" w14:paraId="00000032">
      <w:pPr>
        <w:widowControl w:val="0"/>
        <w:spacing w:before="91.19999999999999" w:lineRule="auto"/>
        <w:ind w:left="0" w:right="1531.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program does not pay for the cost of additional fees such as differential registration fees, special course fees, excess credit fees, or books. </w:t>
      </w:r>
    </w:p>
    <w:p w:rsidR="00000000" w:rsidDel="00000000" w:rsidP="00000000" w:rsidRDefault="00000000" w:rsidRPr="00000000" w14:paraId="00000033">
      <w:pPr>
        <w:widowControl w:val="0"/>
        <w:spacing w:before="91.19999999999999" w:lineRule="auto"/>
        <w:ind w:left="0" w:right="1531.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spouse, domestic partner, or dependent child does not qualify as a resident student, only the portion of the per credit registration fee allocated to the State Operating Budget is paid by this benefit. 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widowControl w:val="0"/>
        <w:shd w:fill="ffffff" w:val="clear"/>
        <w:spacing w:line="219.1304347826087" w:lineRule="auto"/>
        <w:ind w:right="4950"/>
        <w:rPr>
          <w:color w:val="000963"/>
          <w:sz w:val="24"/>
          <w:szCs w:val="24"/>
        </w:rPr>
      </w:pPr>
      <w:bookmarkStart w:colFirst="0" w:colLast="0" w:name="_r59ga55f2f53" w:id="4"/>
      <w:bookmarkEnd w:id="4"/>
      <w:r w:rsidDel="00000000" w:rsidR="00000000" w:rsidRPr="00000000">
        <w:rPr>
          <w:color w:val="000963"/>
          <w:sz w:val="24"/>
          <w:szCs w:val="24"/>
          <w:rtl w:val="0"/>
        </w:rPr>
        <w:t xml:space="preserve">Section 5: Limitations</w:t>
      </w:r>
    </w:p>
    <w:p w:rsidR="00000000" w:rsidDel="00000000" w:rsidP="00000000" w:rsidRDefault="00000000" w:rsidRPr="00000000" w14:paraId="00000035">
      <w:pPr>
        <w:shd w:fill="ffffff" w:val="clear"/>
        <w:spacing w:after="460" w:line="240" w:lineRule="auto"/>
        <w:ind w:left="-440" w:right="-44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91.19999999999999" w:lineRule="auto"/>
        <w:ind w:left="0" w:righ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Classified Family Grant-in-Aid Program may only be used for undergraduate state-supported courses at Western Nevada College. </w:t>
      </w:r>
    </w:p>
    <w:p w:rsidR="00000000" w:rsidDel="00000000" w:rsidP="00000000" w:rsidRDefault="00000000" w:rsidRPr="00000000" w14:paraId="00000037">
      <w:pPr>
        <w:widowControl w:val="0"/>
        <w:spacing w:before="91.19999999999999" w:lineRule="auto"/>
        <w:ind w:left="0" w:righ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following courses/programs are not eligible: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5"/>
        </w:numPr>
        <w:spacing w:after="0" w:afterAutospacing="0" w:before="91.19999999999999" w:lineRule="auto"/>
        <w:ind w:left="720" w:right="1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Intensive English Language classes (IELC)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5"/>
        </w:numPr>
        <w:spacing w:after="0" w:afterAutospacing="0" w:before="0" w:beforeAutospacing="0" w:lineRule="auto"/>
        <w:ind w:left="720" w:right="1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Remedial classes &lt;100 level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5"/>
        </w:numPr>
        <w:spacing w:before="0" w:beforeAutospacing="0" w:lineRule="auto"/>
        <w:ind w:left="720" w:right="1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Non-credit classes offered through Continuing Education </w:t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widowControl w:val="0"/>
        <w:shd w:fill="ffffff" w:val="clear"/>
        <w:spacing w:line="219.1304347826087" w:lineRule="auto"/>
        <w:ind w:right="4950"/>
        <w:rPr>
          <w:color w:val="000963"/>
          <w:sz w:val="24"/>
          <w:szCs w:val="24"/>
        </w:rPr>
      </w:pPr>
      <w:bookmarkStart w:colFirst="0" w:colLast="0" w:name="_wmmpenwbtrxm" w:id="5"/>
      <w:bookmarkEnd w:id="5"/>
      <w:r w:rsidDel="00000000" w:rsidR="00000000" w:rsidRPr="00000000">
        <w:rPr>
          <w:color w:val="000963"/>
          <w:sz w:val="24"/>
          <w:szCs w:val="24"/>
          <w:rtl w:val="0"/>
        </w:rPr>
        <w:t xml:space="preserve">Section 6: Application</w:t>
      </w:r>
    </w:p>
    <w:p w:rsidR="00000000" w:rsidDel="00000000" w:rsidP="00000000" w:rsidRDefault="00000000" w:rsidRPr="00000000" w14:paraId="0000003C">
      <w:pPr>
        <w:shd w:fill="ffffff" w:val="clear"/>
        <w:spacing w:after="460" w:line="240" w:lineRule="auto"/>
        <w:ind w:left="-440" w:right="-44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91.19999999999999" w:lineRule="auto"/>
        <w:ind w:left="0" w:right="1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apply, complete the Classified Family Grant-in-Aid Request Form.</w:t>
      </w:r>
    </w:p>
    <w:p w:rsidR="00000000" w:rsidDel="00000000" w:rsidP="00000000" w:rsidRDefault="00000000" w:rsidRPr="00000000" w14:paraId="0000003E">
      <w:pPr>
        <w:widowControl w:val="0"/>
        <w:spacing w:before="91.19999999999999" w:lineRule="auto"/>
        <w:ind w:left="360" w:right="1531.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63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nc.edu/human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